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8FC" w:rsidRDefault="00E408FC" w:rsidP="00E408FC">
      <w:pPr>
        <w:pStyle w:val="a3"/>
        <w:widowControl w:val="0"/>
        <w:spacing w:before="0" w:after="0"/>
        <w:jc w:val="center"/>
        <w:rPr>
          <w:b/>
          <w:i/>
          <w:sz w:val="36"/>
          <w:szCs w:val="36"/>
        </w:rPr>
      </w:pPr>
      <w:r>
        <w:rPr>
          <w:b/>
          <w:i/>
          <w:noProof/>
          <w:sz w:val="36"/>
          <w:szCs w:val="36"/>
          <w:lang w:val="ru-RU" w:eastAsia="ru-RU"/>
        </w:rPr>
        <w:drawing>
          <wp:anchor distT="0" distB="0" distL="114935" distR="114935" simplePos="0" relativeHeight="251658240" behindDoc="0" locked="0" layoutInCell="1" allowOverlap="1">
            <wp:simplePos x="0" y="0"/>
            <wp:positionH relativeFrom="column">
              <wp:posOffset>56515</wp:posOffset>
            </wp:positionH>
            <wp:positionV relativeFrom="paragraph">
              <wp:posOffset>10160</wp:posOffset>
            </wp:positionV>
            <wp:extent cx="1187450" cy="118745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187450" cy="1187450"/>
                    </a:xfrm>
                    <a:prstGeom prst="rect">
                      <a:avLst/>
                    </a:prstGeom>
                    <a:solidFill>
                      <a:srgbClr val="FFFFFF"/>
                    </a:solidFill>
                    <a:ln w="9525">
                      <a:noFill/>
                      <a:miter lim="800000"/>
                      <a:headEnd/>
                      <a:tailEnd/>
                    </a:ln>
                  </pic:spPr>
                </pic:pic>
              </a:graphicData>
            </a:graphic>
          </wp:anchor>
        </w:drawing>
      </w:r>
    </w:p>
    <w:p w:rsidR="00E408FC" w:rsidRDefault="00E408FC" w:rsidP="00E408FC">
      <w:pPr>
        <w:pStyle w:val="a3"/>
        <w:widowControl w:val="0"/>
        <w:spacing w:before="0" w:after="0"/>
        <w:jc w:val="center"/>
        <w:rPr>
          <w:b/>
          <w:i/>
          <w:sz w:val="36"/>
          <w:szCs w:val="36"/>
        </w:rPr>
      </w:pPr>
    </w:p>
    <w:p w:rsidR="00E408FC" w:rsidRDefault="00E408FC" w:rsidP="00E408FC">
      <w:pPr>
        <w:pStyle w:val="a3"/>
        <w:widowControl w:val="0"/>
        <w:spacing w:before="0" w:after="0"/>
        <w:jc w:val="center"/>
        <w:rPr>
          <w:b/>
          <w:i/>
          <w:sz w:val="36"/>
          <w:szCs w:val="36"/>
        </w:rPr>
      </w:pPr>
    </w:p>
    <w:p w:rsidR="00E408FC" w:rsidRDefault="00E408FC" w:rsidP="00E408FC">
      <w:pPr>
        <w:pStyle w:val="a3"/>
        <w:widowControl w:val="0"/>
        <w:spacing w:before="0" w:after="0"/>
        <w:jc w:val="center"/>
        <w:rPr>
          <w:b/>
          <w:i/>
          <w:sz w:val="36"/>
          <w:szCs w:val="36"/>
        </w:rPr>
      </w:pPr>
    </w:p>
    <w:p w:rsidR="00E408FC" w:rsidRDefault="00E408FC" w:rsidP="00E408FC">
      <w:pPr>
        <w:pStyle w:val="a3"/>
        <w:widowControl w:val="0"/>
        <w:spacing w:before="0" w:after="0"/>
        <w:jc w:val="center"/>
        <w:rPr>
          <w:b/>
          <w:i/>
          <w:sz w:val="36"/>
          <w:szCs w:val="36"/>
        </w:rPr>
      </w:pPr>
    </w:p>
    <w:p w:rsidR="00E408FC" w:rsidRPr="00E408FC" w:rsidRDefault="00E408FC" w:rsidP="00E408FC">
      <w:pPr>
        <w:pStyle w:val="a3"/>
        <w:widowControl w:val="0"/>
        <w:spacing w:before="0" w:after="0"/>
        <w:jc w:val="center"/>
        <w:rPr>
          <w:b/>
          <w:i/>
          <w:color w:val="000000"/>
          <w:sz w:val="28"/>
          <w:szCs w:val="28"/>
        </w:rPr>
      </w:pPr>
      <w:r w:rsidRPr="00E408FC">
        <w:rPr>
          <w:b/>
          <w:i/>
          <w:sz w:val="28"/>
          <w:szCs w:val="28"/>
        </w:rPr>
        <w:t xml:space="preserve">Декларування </w:t>
      </w:r>
      <w:r w:rsidRPr="00E408FC">
        <w:rPr>
          <w:b/>
          <w:i/>
          <w:color w:val="000000"/>
          <w:sz w:val="28"/>
          <w:szCs w:val="28"/>
        </w:rPr>
        <w:t xml:space="preserve">доходу особою, яка одноосібно обробляє </w:t>
      </w:r>
    </w:p>
    <w:p w:rsidR="00E408FC" w:rsidRPr="00E408FC" w:rsidRDefault="00E408FC" w:rsidP="00E408FC">
      <w:pPr>
        <w:pStyle w:val="a3"/>
        <w:widowControl w:val="0"/>
        <w:spacing w:before="0" w:after="0"/>
        <w:jc w:val="center"/>
        <w:rPr>
          <w:b/>
          <w:i/>
          <w:color w:val="000000"/>
          <w:sz w:val="28"/>
          <w:szCs w:val="28"/>
        </w:rPr>
      </w:pPr>
      <w:r w:rsidRPr="00E408FC">
        <w:rPr>
          <w:b/>
          <w:i/>
          <w:color w:val="000000"/>
          <w:sz w:val="28"/>
          <w:szCs w:val="28"/>
        </w:rPr>
        <w:t>земельні частки (паї)</w:t>
      </w:r>
    </w:p>
    <w:p w:rsidR="00E408FC" w:rsidRPr="00E408FC" w:rsidRDefault="00E408FC" w:rsidP="00E408FC">
      <w:pPr>
        <w:pStyle w:val="1"/>
        <w:spacing w:before="0" w:after="0"/>
        <w:ind w:left="0"/>
        <w:jc w:val="center"/>
        <w:rPr>
          <w:rFonts w:ascii="Times New Roman" w:hAnsi="Times New Roman" w:cs="Times New Roman"/>
          <w:i/>
          <w:sz w:val="20"/>
          <w:szCs w:val="20"/>
        </w:rPr>
      </w:pPr>
    </w:p>
    <w:p w:rsidR="00E408FC" w:rsidRPr="00E408FC" w:rsidRDefault="00E408FC" w:rsidP="00E408FC">
      <w:pPr>
        <w:pStyle w:val="nospacing"/>
        <w:spacing w:before="0" w:beforeAutospacing="0" w:after="0" w:afterAutospacing="0"/>
        <w:ind w:firstLine="709"/>
        <w:jc w:val="both"/>
        <w:rPr>
          <w:sz w:val="20"/>
          <w:szCs w:val="20"/>
          <w:lang w:val="uk-UA"/>
        </w:rPr>
      </w:pPr>
      <w:proofErr w:type="spellStart"/>
      <w:r w:rsidRPr="00E408FC">
        <w:rPr>
          <w:sz w:val="20"/>
          <w:szCs w:val="20"/>
        </w:rPr>
        <w:t>Новоархангельська</w:t>
      </w:r>
      <w:proofErr w:type="spellEnd"/>
      <w:r w:rsidRPr="00E408FC">
        <w:rPr>
          <w:sz w:val="20"/>
          <w:szCs w:val="20"/>
        </w:rPr>
        <w:t xml:space="preserve"> ДПІ </w:t>
      </w:r>
      <w:r w:rsidRPr="00E408FC">
        <w:rPr>
          <w:iCs/>
          <w:sz w:val="20"/>
          <w:szCs w:val="20"/>
        </w:rPr>
        <w:t xml:space="preserve"> ГУ ДПС у </w:t>
      </w:r>
      <w:proofErr w:type="spellStart"/>
      <w:r w:rsidRPr="00E408FC">
        <w:rPr>
          <w:iCs/>
          <w:sz w:val="20"/>
          <w:szCs w:val="20"/>
        </w:rPr>
        <w:t>Кіровоградській</w:t>
      </w:r>
      <w:proofErr w:type="spellEnd"/>
      <w:r w:rsidRPr="00E408FC">
        <w:rPr>
          <w:iCs/>
          <w:sz w:val="20"/>
          <w:szCs w:val="20"/>
        </w:rPr>
        <w:t xml:space="preserve"> області</w:t>
      </w:r>
      <w:r w:rsidRPr="00E408FC">
        <w:rPr>
          <w:iCs/>
          <w:sz w:val="20"/>
          <w:szCs w:val="20"/>
          <w:lang w:val="uk-UA"/>
        </w:rPr>
        <w:t xml:space="preserve"> інформу</w:t>
      </w:r>
      <w:proofErr w:type="gramStart"/>
      <w:r w:rsidRPr="00E408FC">
        <w:rPr>
          <w:iCs/>
          <w:sz w:val="20"/>
          <w:szCs w:val="20"/>
          <w:lang w:val="uk-UA"/>
        </w:rPr>
        <w:t>є,</w:t>
      </w:r>
      <w:proofErr w:type="gramEnd"/>
      <w:r w:rsidRPr="00E408FC">
        <w:rPr>
          <w:iCs/>
          <w:sz w:val="20"/>
          <w:szCs w:val="20"/>
          <w:lang w:val="uk-UA"/>
        </w:rPr>
        <w:t xml:space="preserve"> що </w:t>
      </w:r>
      <w:r w:rsidRPr="00E408FC">
        <w:rPr>
          <w:sz w:val="20"/>
          <w:szCs w:val="20"/>
          <w:lang w:val="uk-UA"/>
        </w:rPr>
        <w:t>оподаткування доходів фізичних осіб регламентується розділом IV Податкового кодексу України, відповідно до пп.165.1.24 п. 165.1 ст. 165 якого до загального місячного (річного) оподатковуваного доходу платника податку не включаються доходи, отримані від продажу власної сільськогосподарської продукції, що, зокрема, вирощена, зібрана, виготовлена, вироблена, оброблена та/або перероблена безпосередньо фізичною особою на земельних ділянках, наданих їй у розмірах, встановлених Земельним кодексом України для ведення, зокрема:</w:t>
      </w:r>
    </w:p>
    <w:p w:rsidR="00E408FC" w:rsidRPr="00E408FC" w:rsidRDefault="00E408FC" w:rsidP="00E408FC">
      <w:pPr>
        <w:pStyle w:val="nospacing"/>
        <w:spacing w:before="0" w:beforeAutospacing="0" w:after="0" w:afterAutospacing="0"/>
        <w:ind w:firstLine="709"/>
        <w:jc w:val="both"/>
        <w:rPr>
          <w:sz w:val="20"/>
          <w:szCs w:val="20"/>
          <w:lang w:val="uk-UA"/>
        </w:rPr>
      </w:pPr>
      <w:r w:rsidRPr="00E408FC">
        <w:rPr>
          <w:sz w:val="20"/>
          <w:szCs w:val="20"/>
          <w:lang w:val="uk-UA"/>
        </w:rPr>
        <w:t>садівництва та/або для будівництва і обслуговування житлового будинку, господарських будівель і споруд (присадибні ділянки) та/або для індивідуального дачного будівництва. При цьому якщо власник сільськогосподарської продукції має ще земельні частки (паї), виділені в натурі (на місцевості), але не використовує їх (здає в оренду або обслуговує), отримані ним доходи від продажу сільськогосподарської продукції не включаються до загального місячного (річного) оподатковуваного доходу;</w:t>
      </w:r>
    </w:p>
    <w:p w:rsidR="00E408FC" w:rsidRPr="00E408FC" w:rsidRDefault="00E408FC" w:rsidP="00E408FC">
      <w:pPr>
        <w:pStyle w:val="nospacing"/>
        <w:spacing w:before="0" w:beforeAutospacing="0" w:after="0" w:afterAutospacing="0"/>
        <w:ind w:firstLine="709"/>
        <w:jc w:val="both"/>
        <w:rPr>
          <w:sz w:val="20"/>
          <w:szCs w:val="20"/>
          <w:lang w:val="uk-UA"/>
        </w:rPr>
      </w:pPr>
      <w:r w:rsidRPr="00E408FC">
        <w:rPr>
          <w:sz w:val="20"/>
          <w:szCs w:val="20"/>
          <w:lang w:val="uk-UA"/>
        </w:rPr>
        <w:t>особистого селянського господарства та/або земельні частки (паї), виділені в натурі (на місцевості), сукупний розмір яких не перевищує 2 гектари. При цьому розмір земельних ділянок, зазначених в абзаці другому цього підпункту, а також розмір виділених в натурі (на місцевості) земельних часток (паїв), які не використовуються (здаються в оренду, обслуговуються), не враховуються.</w:t>
      </w:r>
    </w:p>
    <w:p w:rsidR="00E408FC" w:rsidRPr="00E408FC" w:rsidRDefault="00E408FC" w:rsidP="00E408FC">
      <w:pPr>
        <w:pStyle w:val="nospacing"/>
        <w:spacing w:before="0" w:beforeAutospacing="0" w:after="0" w:afterAutospacing="0"/>
        <w:ind w:firstLine="709"/>
        <w:jc w:val="both"/>
        <w:rPr>
          <w:sz w:val="20"/>
          <w:szCs w:val="20"/>
          <w:lang w:val="uk-UA"/>
        </w:rPr>
      </w:pPr>
    </w:p>
    <w:p w:rsidR="00E408FC" w:rsidRPr="00E408FC" w:rsidRDefault="00E408FC" w:rsidP="00E408FC">
      <w:pPr>
        <w:pStyle w:val="nospacing"/>
        <w:spacing w:before="0" w:beforeAutospacing="0" w:after="0" w:afterAutospacing="0"/>
        <w:ind w:firstLine="709"/>
        <w:jc w:val="both"/>
        <w:rPr>
          <w:sz w:val="20"/>
          <w:szCs w:val="20"/>
          <w:lang w:val="uk-UA"/>
        </w:rPr>
      </w:pPr>
      <w:r w:rsidRPr="00E408FC">
        <w:rPr>
          <w:sz w:val="20"/>
          <w:szCs w:val="20"/>
          <w:lang w:val="uk-UA"/>
        </w:rPr>
        <w:t>Якщо розмір земельних ділянок, зазначених в абзаці третьому пп. 165.1.24 п. 165.1 ст. 165 ПКУ, перевищує 2 гектари, дохід від продажу сільськогосподарської продукції підлягає оподаткуванню на загальних підставах за ставкою 18% (п.167.1 ст.167 ПКУ).</w:t>
      </w:r>
    </w:p>
    <w:p w:rsidR="00E408FC" w:rsidRPr="00E408FC" w:rsidRDefault="00E408FC" w:rsidP="00E408FC">
      <w:pPr>
        <w:pStyle w:val="nospacing"/>
        <w:spacing w:before="0" w:beforeAutospacing="0" w:after="0" w:afterAutospacing="0"/>
        <w:ind w:firstLine="709"/>
        <w:jc w:val="both"/>
        <w:rPr>
          <w:sz w:val="20"/>
          <w:szCs w:val="20"/>
          <w:lang w:val="uk-UA"/>
        </w:rPr>
      </w:pPr>
    </w:p>
    <w:p w:rsidR="00E408FC" w:rsidRPr="00E408FC" w:rsidRDefault="00E408FC" w:rsidP="00E408FC">
      <w:pPr>
        <w:pStyle w:val="nospacing"/>
        <w:spacing w:before="0" w:beforeAutospacing="0" w:after="0" w:afterAutospacing="0"/>
        <w:ind w:firstLine="709"/>
        <w:jc w:val="both"/>
        <w:rPr>
          <w:sz w:val="20"/>
          <w:szCs w:val="20"/>
          <w:lang w:val="uk-UA"/>
        </w:rPr>
      </w:pPr>
      <w:r w:rsidRPr="00E408FC">
        <w:rPr>
          <w:sz w:val="20"/>
          <w:szCs w:val="20"/>
          <w:lang w:val="uk-UA"/>
        </w:rPr>
        <w:t xml:space="preserve">Крім того, дохід від реалізації сільськогосподарської продукції є об’єктом оподаткування військовим збором за ставкою 1,5 </w:t>
      </w:r>
      <w:proofErr w:type="spellStart"/>
      <w:r w:rsidRPr="00E408FC">
        <w:rPr>
          <w:sz w:val="20"/>
          <w:szCs w:val="20"/>
          <w:lang w:val="uk-UA"/>
        </w:rPr>
        <w:t>відс</w:t>
      </w:r>
      <w:proofErr w:type="spellEnd"/>
      <w:r w:rsidRPr="00E408FC">
        <w:rPr>
          <w:sz w:val="20"/>
          <w:szCs w:val="20"/>
          <w:lang w:val="uk-UA"/>
        </w:rPr>
        <w:t>. (пп. 1.2 п. 16</w:t>
      </w:r>
      <w:r w:rsidRPr="00E408FC">
        <w:rPr>
          <w:sz w:val="20"/>
          <w:szCs w:val="20"/>
          <w:vertAlign w:val="superscript"/>
          <w:lang w:val="uk-UA"/>
        </w:rPr>
        <w:t>1</w:t>
      </w:r>
      <w:r w:rsidRPr="00E408FC">
        <w:rPr>
          <w:rStyle w:val="apple-converted-space"/>
          <w:color w:val="000000"/>
          <w:sz w:val="20"/>
          <w:szCs w:val="20"/>
          <w:lang w:val="uk-UA"/>
        </w:rPr>
        <w:t> </w:t>
      </w:r>
      <w:r w:rsidRPr="00E408FC">
        <w:rPr>
          <w:sz w:val="20"/>
          <w:szCs w:val="20"/>
          <w:lang w:val="uk-UA"/>
        </w:rPr>
        <w:t>підрозділу 10 розділу XX Кодексу).</w:t>
      </w:r>
    </w:p>
    <w:p w:rsidR="00E408FC" w:rsidRPr="00E408FC" w:rsidRDefault="00E408FC" w:rsidP="00E408FC">
      <w:pPr>
        <w:pStyle w:val="nospacing"/>
        <w:spacing w:before="0" w:beforeAutospacing="0" w:after="0" w:afterAutospacing="0"/>
        <w:ind w:firstLine="709"/>
        <w:jc w:val="both"/>
        <w:rPr>
          <w:b/>
          <w:sz w:val="20"/>
          <w:szCs w:val="20"/>
          <w:lang w:val="uk-UA"/>
        </w:rPr>
      </w:pPr>
    </w:p>
    <w:p w:rsidR="00E408FC" w:rsidRPr="00E408FC" w:rsidRDefault="00E408FC" w:rsidP="00E408FC">
      <w:pPr>
        <w:pStyle w:val="nospacing"/>
        <w:spacing w:before="0" w:beforeAutospacing="0" w:after="0" w:afterAutospacing="0"/>
        <w:ind w:firstLine="709"/>
        <w:jc w:val="both"/>
        <w:rPr>
          <w:sz w:val="20"/>
          <w:szCs w:val="20"/>
          <w:lang w:val="uk-UA"/>
        </w:rPr>
      </w:pPr>
      <w:r w:rsidRPr="00E408FC">
        <w:rPr>
          <w:b/>
          <w:sz w:val="20"/>
          <w:szCs w:val="20"/>
          <w:lang w:val="uk-UA"/>
        </w:rPr>
        <w:t>Граничний термін подання декларації за звітний (податковий) 2020 рік</w:t>
      </w:r>
      <w:r w:rsidRPr="00E408FC">
        <w:rPr>
          <w:sz w:val="20"/>
          <w:szCs w:val="20"/>
          <w:lang w:val="uk-UA"/>
        </w:rPr>
        <w:t xml:space="preserve"> – </w:t>
      </w:r>
      <w:r w:rsidRPr="00E408FC">
        <w:rPr>
          <w:b/>
          <w:sz w:val="20"/>
          <w:szCs w:val="20"/>
          <w:lang w:val="uk-UA"/>
        </w:rPr>
        <w:t>30.04.2021 року</w:t>
      </w:r>
      <w:r w:rsidRPr="00E408FC">
        <w:rPr>
          <w:sz w:val="20"/>
          <w:szCs w:val="20"/>
          <w:lang w:val="uk-UA"/>
        </w:rPr>
        <w:t>.</w:t>
      </w:r>
    </w:p>
    <w:p w:rsidR="00E408FC" w:rsidRPr="00E408FC" w:rsidRDefault="00E408FC" w:rsidP="00E408FC">
      <w:pPr>
        <w:pStyle w:val="nospacing"/>
        <w:spacing w:before="0" w:beforeAutospacing="0" w:after="0" w:afterAutospacing="0"/>
        <w:ind w:firstLine="709"/>
        <w:jc w:val="both"/>
        <w:rPr>
          <w:sz w:val="20"/>
          <w:szCs w:val="20"/>
          <w:lang w:val="uk-UA"/>
        </w:rPr>
      </w:pPr>
    </w:p>
    <w:p w:rsidR="00E408FC" w:rsidRPr="00E408FC" w:rsidRDefault="00E408FC" w:rsidP="00E408FC">
      <w:pPr>
        <w:pStyle w:val="nospacing"/>
        <w:spacing w:before="0" w:beforeAutospacing="0" w:after="0" w:afterAutospacing="0"/>
        <w:ind w:firstLine="709"/>
        <w:jc w:val="both"/>
        <w:rPr>
          <w:iCs/>
          <w:sz w:val="20"/>
          <w:szCs w:val="20"/>
          <w:lang w:val="uk-UA"/>
        </w:rPr>
      </w:pPr>
      <w:r w:rsidRPr="00E408FC">
        <w:rPr>
          <w:sz w:val="20"/>
          <w:szCs w:val="20"/>
          <w:lang w:val="uk-UA"/>
        </w:rPr>
        <w:t>Фізична особа зобов’язана самостійно до 01 серпня року, що настає за звітним, сплатити суму податкового зобов’язання, зазначену в поданій нею податковій декларації (п.179.7 ст.179 ПКУ).</w:t>
      </w:r>
    </w:p>
    <w:p w:rsidR="00E408FC" w:rsidRPr="00E408FC" w:rsidRDefault="00E408FC" w:rsidP="00E408FC">
      <w:pPr>
        <w:pStyle w:val="nospacing"/>
        <w:spacing w:before="0" w:beforeAutospacing="0" w:after="0" w:afterAutospacing="0"/>
        <w:ind w:firstLine="709"/>
        <w:jc w:val="both"/>
        <w:rPr>
          <w:sz w:val="20"/>
          <w:szCs w:val="20"/>
          <w:lang w:val="uk-UA"/>
        </w:rPr>
      </w:pPr>
    </w:p>
    <w:p w:rsidR="00E408FC" w:rsidRPr="00E408FC" w:rsidRDefault="00E408FC" w:rsidP="00E408FC">
      <w:pPr>
        <w:pStyle w:val="nospacing"/>
        <w:spacing w:before="0" w:beforeAutospacing="0" w:after="0" w:afterAutospacing="0"/>
        <w:ind w:firstLine="709"/>
        <w:jc w:val="both"/>
        <w:rPr>
          <w:sz w:val="20"/>
          <w:szCs w:val="20"/>
          <w:lang w:val="uk-UA"/>
        </w:rPr>
      </w:pPr>
      <w:r w:rsidRPr="00E408FC">
        <w:rPr>
          <w:sz w:val="20"/>
          <w:szCs w:val="20"/>
          <w:lang w:val="uk-UA"/>
        </w:rPr>
        <w:t>Звертаємо увагу, що декларацію про майновий стан і доходи слід подавати за формою, затвердженою наказом МФУ від 02.10.2015 №859 від 02.10.2015 №859 (в редакції від 25.04.2019 № 177).</w:t>
      </w:r>
    </w:p>
    <w:p w:rsidR="00E408FC" w:rsidRPr="00E408FC" w:rsidRDefault="00E408FC" w:rsidP="00E408FC">
      <w:pPr>
        <w:pStyle w:val="nospacing"/>
        <w:spacing w:before="0" w:beforeAutospacing="0" w:after="0" w:afterAutospacing="0"/>
        <w:ind w:firstLine="709"/>
        <w:jc w:val="both"/>
        <w:rPr>
          <w:sz w:val="20"/>
          <w:szCs w:val="20"/>
          <w:lang w:val="uk-UA"/>
        </w:rPr>
      </w:pPr>
    </w:p>
    <w:p w:rsidR="005514DC" w:rsidRDefault="005514DC" w:rsidP="00E408FC"/>
    <w:sectPr w:rsidR="005514DC" w:rsidSect="005514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grammar="clean"/>
  <w:defaultTabStop w:val="708"/>
  <w:characterSpacingControl w:val="doNotCompress"/>
  <w:compat/>
  <w:rsids>
    <w:rsidRoot w:val="00E408FC"/>
    <w:rsid w:val="00136878"/>
    <w:rsid w:val="005514DC"/>
    <w:rsid w:val="00E408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2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8FC"/>
    <w:pPr>
      <w:suppressAutoHyphens/>
      <w:spacing w:before="0" w:beforeAutospacing="0" w:after="200" w:afterAutospacing="0" w:line="276" w:lineRule="auto"/>
      <w:jc w:val="left"/>
    </w:pPr>
    <w:rPr>
      <w:rFonts w:ascii="Calibri" w:eastAsia="Times New Roman" w:hAnsi="Calibri" w:cs="Calibri"/>
      <w:lang w:val="uk-UA" w:eastAsia="ar-SA"/>
    </w:rPr>
  </w:style>
  <w:style w:type="paragraph" w:styleId="1">
    <w:name w:val="heading 1"/>
    <w:basedOn w:val="a"/>
    <w:next w:val="a"/>
    <w:link w:val="10"/>
    <w:qFormat/>
    <w:rsid w:val="00E408FC"/>
    <w:pPr>
      <w:numPr>
        <w:numId w:val="1"/>
      </w:numPr>
      <w:spacing w:before="280" w:after="280" w:line="240" w:lineRule="auto"/>
      <w:outlineLvl w:val="0"/>
    </w:pPr>
    <w:rPr>
      <w:rFonts w:ascii="Arial Unicode MS" w:eastAsia="Arial Unicode MS" w:hAnsi="Arial Unicode MS" w:cs="Arial Unicode MS"/>
      <w:b/>
      <w:bCs/>
      <w:kern w:val="1"/>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08FC"/>
    <w:rPr>
      <w:rFonts w:ascii="Arial Unicode MS" w:eastAsia="Arial Unicode MS" w:hAnsi="Arial Unicode MS" w:cs="Arial Unicode MS"/>
      <w:b/>
      <w:bCs/>
      <w:kern w:val="1"/>
      <w:sz w:val="48"/>
      <w:szCs w:val="48"/>
      <w:lang w:eastAsia="ar-SA"/>
    </w:rPr>
  </w:style>
  <w:style w:type="character" w:customStyle="1" w:styleId="apple-converted-space">
    <w:name w:val="apple-converted-space"/>
    <w:basedOn w:val="a0"/>
    <w:rsid w:val="00E408FC"/>
  </w:style>
  <w:style w:type="paragraph" w:styleId="a3">
    <w:name w:val="Normal (Web)"/>
    <w:aliases w:val="Обычный (веб) Знак,Знак1 Знак,Знак1 Знак Знак,Знак1 Знак Знак Знак Знак Знак Знак Знак,Знак1 Знак Знак Знак,Знак1,Обычный (Web) Знак Знак Знак Знак Знак Знак,Обычный (Web) Знак,Обычный (Web),Обычный (веб) Знак2,Обычный (веб) Знак1 Знак,Зна"/>
    <w:basedOn w:val="a"/>
    <w:link w:val="11"/>
    <w:rsid w:val="00E408FC"/>
    <w:pPr>
      <w:spacing w:before="280" w:after="280" w:line="240" w:lineRule="auto"/>
    </w:pPr>
    <w:rPr>
      <w:rFonts w:ascii="Times New Roman" w:hAnsi="Times New Roman" w:cs="Times New Roman"/>
      <w:sz w:val="24"/>
      <w:szCs w:val="24"/>
    </w:rPr>
  </w:style>
  <w:style w:type="character" w:customStyle="1" w:styleId="11">
    <w:name w:val="Обычный (веб) Знак1"/>
    <w:aliases w:val="Обычный (веб) Знак Знак,Знак1 Знак Знак1,Знак1 Знак Знак Знак1,Знак1 Знак Знак Знак Знак Знак Знак Знак Знак,Знак1 Знак Знак Знак Знак,Знак1 Знак1,Обычный (Web) Знак Знак Знак Знак Знак Знак Знак,Обычный (Web) Знак Знак,Зна Знак"/>
    <w:link w:val="a3"/>
    <w:locked/>
    <w:rsid w:val="00E408FC"/>
    <w:rPr>
      <w:rFonts w:ascii="Times New Roman" w:eastAsia="Times New Roman" w:hAnsi="Times New Roman" w:cs="Times New Roman"/>
      <w:sz w:val="24"/>
      <w:szCs w:val="24"/>
      <w:lang w:val="uk-UA" w:eastAsia="ar-SA"/>
    </w:rPr>
  </w:style>
  <w:style w:type="paragraph" w:customStyle="1" w:styleId="nospacing">
    <w:name w:val="nospacing"/>
    <w:basedOn w:val="a"/>
    <w:rsid w:val="00E408FC"/>
    <w:pPr>
      <w:suppressAutoHyphens w:val="0"/>
      <w:spacing w:before="100" w:beforeAutospacing="1" w:after="100" w:afterAutospacing="1" w:line="240" w:lineRule="auto"/>
    </w:pPr>
    <w:rPr>
      <w:rFonts w:ascii="Times New Roman" w:hAnsi="Times New Roman" w:cs="Times New Roman"/>
      <w:sz w:val="24"/>
      <w:szCs w:val="24"/>
      <w:lang w:val="ru-RU" w:eastAsia="ru-RU"/>
    </w:rPr>
  </w:style>
  <w:style w:type="paragraph" w:styleId="a4">
    <w:name w:val="Body Text"/>
    <w:basedOn w:val="a"/>
    <w:link w:val="a5"/>
    <w:uiPriority w:val="99"/>
    <w:semiHidden/>
    <w:unhideWhenUsed/>
    <w:rsid w:val="00E408FC"/>
    <w:pPr>
      <w:spacing w:after="120"/>
    </w:pPr>
  </w:style>
  <w:style w:type="character" w:customStyle="1" w:styleId="a5">
    <w:name w:val="Основной текст Знак"/>
    <w:basedOn w:val="a0"/>
    <w:link w:val="a4"/>
    <w:uiPriority w:val="99"/>
    <w:semiHidden/>
    <w:rsid w:val="00E408FC"/>
    <w:rPr>
      <w:rFonts w:ascii="Calibri" w:eastAsia="Times New Roman" w:hAnsi="Calibri" w:cs="Calibri"/>
      <w:lang w:val="uk-UA"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2070</Characters>
  <Application>Microsoft Office Word</Application>
  <DocSecurity>0</DocSecurity>
  <Lines>17</Lines>
  <Paragraphs>4</Paragraphs>
  <ScaleCrop>false</ScaleCrop>
  <Company/>
  <LinksUpToDate>false</LinksUpToDate>
  <CharactersWithSpaces>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2021-03-30T08:49:00Z</dcterms:created>
  <dcterms:modified xsi:type="dcterms:W3CDTF">2021-03-30T08:51:00Z</dcterms:modified>
</cp:coreProperties>
</file>